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6"/>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6"/>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6"/>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 vacuum-attached scabblers and needle guns. Water suppression where dust extraction not practicable. Physical barriers to contain debris —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 air monitoring if breakout exceeds 4 hours continuous. Vibration exposure log maintained —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 no contamination of prepared surface between cleaning and priming. Product must match specification — no substitution without engineer approval.</w:t>
            </w:r>
          </w:p>
          <w:p>
            <w:pPr>
              <w:spacing w:before="20" w:after="20" w:line="276"/>
              <w:numPr>
                <w:ilvl w:val="0"/>
                <w:numId w:val="45"/>
              </w:numPr>
            </w:pPr>
            <w:r>
              <w:rPr>
                <w:rFonts w:ascii="Aptos" w:hAnsi="Aptos"/>
                <w:sz w:val="16"/>
                <w:szCs w:val="16"/>
              </w:rPr>
              <w:t xml:space="preserve">Repair mortar applied in lifts per specification —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 visible dust plume beyond immediate work zone. Reinforcement cross-section loss exceeds 20% or engineer tolerance — stop work, notify engineer for supplementary reinforcement design before proceeding. Structural concern, unexpected cracking, movement, or voids encountered during breakout —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 no dry cutting. Depth stop set on cutting equipment per engineering specification —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 slot depths, bar sizes, spacing, grout product confirmed. SDS for all epoxy, grout, and primer products reviewed —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 unexpected movement or displacement observed — services detected in cutting path — structural engineer advises hold —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 allergic contact dermatitis. Eye contact with epoxy hardener — chemical burns. Solvent vapour inhalation from injection products. Injection equipment under pressure —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Injection equipment maintained per manufacturer — pressure relief valve functional, hose connections checked before use. Mixing ratios per product data sheet —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 </w:t>
            </w:r>
            <w:r>
              <w:rPr>
                <w:rFonts w:ascii="Aptos" w:hAnsi="Aptos"/>
                <w:sz w:val="16"/>
                <w:szCs w:val="16"/>
              </w:rPr>
              <w:t xml:space="preserve">SDS for epoxy resin, hardener, and crack sealer reviewed before use — on site and accessible. Ventilation confirmed adequate — outdoor work preferred. Injection pressure monitored —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(minimum) —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 wash immediately with soap and water, do not use solvent. Eye contact — flush 15 minutes, seek medical attention immediately. Injection pressure exceeds manufacturer limit. Crack leaking resin externally — depressurise and reseal. Product temperature outside application range. Exothermic reaction detected in mixing container —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 substrate preparation, primer, membrane type, application rates, cure times confirmed. SDS for all products reviewed before use. Ambient temperature and substrate moisture checked before application — no application outside product parameters. Wet film thickness checks during application. For concrete cancer remediation: anti-carbonation coating applied to cured repair mortar per engineer specification before membrane or final coating — product and coverage rate as specified.</w:t>
            </w:r>
          </w:p>
          <w:p>
            <w:pPr>
              <w:spacing w:before="20" w:after="20" w:line="276"/>
            </w:pPr>
            <w:r>
              <w:rPr>
                <w:rFonts w:ascii="Aptos" w:hAnsi="Aptos"/>
                <w:sz w:val="16"/>
                <w:szCs w:val="16"/>
                <w:b/>
              </w:rPr>
              <w:t xml:space="preserve">PPE: </w:t>
            </w:r>
            <w:r>
              <w:rPr>
                <w:rFonts w:ascii="Aptos" w:hAnsi="Aptos"/>
                <w:sz w:val="16"/>
                <w:szCs w:val="16"/>
              </w:rPr>
              <w:t xml:space="preserve">Nitrile gloves —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 substrate moisture exceeds product tolerance — rain imminent on uncured membrane — ventilation fails in enclosed area —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 no material to fall below. Backer rod sized correctly to joint width —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 joint widths, depths, sealant type, primer compatibility confirmed. SDS for sealant, primer, and backer rod products reviewed. Joint movement range confirmed with structural engineer if movement exceeds original design. Weather check —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 substrate condition prevents proper adhesion — rain during application — product outside temperature range —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7"/>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